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附件2</w:t>
      </w:r>
    </w:p>
    <w:p>
      <w:pPr>
        <w:spacing w:line="720" w:lineRule="exact"/>
        <w:jc w:val="center"/>
        <w:rPr>
          <w:rFonts w:ascii="黑体" w:hAnsi="Times New Roman" w:eastAsia="黑体" w:cs="Times New Roman"/>
          <w:b/>
          <w:bCs/>
          <w:color w:val="000000"/>
          <w:sz w:val="48"/>
          <w:szCs w:val="24"/>
        </w:rPr>
      </w:pPr>
    </w:p>
    <w:p>
      <w:pPr>
        <w:spacing w:line="720" w:lineRule="exact"/>
        <w:jc w:val="center"/>
        <w:rPr>
          <w:rFonts w:ascii="黑体" w:hAnsi="Times New Roman" w:eastAsia="黑体" w:cs="Times New Roman"/>
          <w:b/>
          <w:bCs/>
          <w:color w:val="000000"/>
          <w:sz w:val="48"/>
          <w:szCs w:val="24"/>
        </w:rPr>
      </w:pPr>
    </w:p>
    <w:p>
      <w:pPr>
        <w:spacing w:line="360" w:lineRule="auto"/>
        <w:jc w:val="center"/>
        <w:rPr>
          <w:rFonts w:ascii="仿宋_GB2312" w:hAnsi="宋体" w:eastAsia="仿宋_GB2312" w:cs="Times New Roman"/>
          <w:b/>
          <w:bCs/>
          <w:color w:val="000000"/>
          <w:sz w:val="48"/>
          <w:szCs w:val="48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48"/>
          <w:szCs w:val="48"/>
        </w:rPr>
        <w:t>陕西国际商贸学院</w:t>
      </w:r>
    </w:p>
    <w:p>
      <w:pPr>
        <w:spacing w:line="360" w:lineRule="auto"/>
        <w:jc w:val="center"/>
        <w:rPr>
          <w:rFonts w:ascii="楷体_GB2312" w:hAnsi="宋体" w:eastAsia="楷体_GB2312" w:cs="Times New Roman"/>
          <w:b/>
          <w:bCs/>
          <w:color w:val="000000"/>
          <w:sz w:val="52"/>
          <w:szCs w:val="52"/>
        </w:rPr>
      </w:pPr>
      <w:r>
        <w:rPr>
          <w:rFonts w:hint="eastAsia" w:ascii="楷体_GB2312" w:hAnsi="宋体" w:eastAsia="楷体_GB2312" w:cs="Times New Roman"/>
          <w:b/>
          <w:bCs/>
          <w:color w:val="000000"/>
          <w:sz w:val="52"/>
          <w:szCs w:val="52"/>
        </w:rPr>
        <w:t>本科专业评估自评报告</w:t>
      </w:r>
    </w:p>
    <w:p>
      <w:pPr>
        <w:snapToGrid w:val="0"/>
        <w:spacing w:line="780" w:lineRule="exact"/>
        <w:rPr>
          <w:rFonts w:ascii="宋体" w:hAnsi="宋体" w:eastAsia="宋体" w:cs="Times New Roman"/>
          <w:color w:val="000000"/>
          <w:szCs w:val="24"/>
        </w:rPr>
      </w:pPr>
    </w:p>
    <w:p>
      <w:pPr>
        <w:snapToGrid w:val="0"/>
        <w:spacing w:line="780" w:lineRule="exact"/>
        <w:rPr>
          <w:rFonts w:ascii="宋体" w:hAnsi="宋体" w:eastAsia="宋体" w:cs="Times New Roman"/>
          <w:color w:val="000000"/>
          <w:szCs w:val="24"/>
        </w:rPr>
      </w:pPr>
    </w:p>
    <w:p>
      <w:pPr>
        <w:snapToGrid w:val="0"/>
        <w:spacing w:line="360" w:lineRule="auto"/>
        <w:ind w:firstLine="900" w:firstLineChars="250"/>
        <w:rPr>
          <w:rFonts w:ascii="仿宋_GB2312" w:hAnsi="宋体" w:eastAsia="仿宋_GB2312" w:cs="Times New Roman"/>
          <w:color w:val="000000"/>
          <w:sz w:val="36"/>
          <w:szCs w:val="36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专业名称：</w:t>
      </w:r>
      <w:r>
        <w:rPr>
          <w:rFonts w:hint="eastAsia" w:ascii="仿宋_GB2312" w:hAnsi="宋体" w:eastAsia="仿宋_GB2312" w:cs="Times New Roman"/>
          <w:color w:val="000000"/>
          <w:sz w:val="36"/>
          <w:szCs w:val="36"/>
          <w:u w:val="single"/>
        </w:rPr>
        <w:t xml:space="preserve">                            </w:t>
      </w:r>
    </w:p>
    <w:p>
      <w:pPr>
        <w:snapToGrid w:val="0"/>
        <w:spacing w:line="360" w:lineRule="auto"/>
        <w:ind w:firstLine="900" w:firstLineChars="250"/>
        <w:rPr>
          <w:rFonts w:ascii="仿宋_GB2312" w:hAnsi="宋体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所在二级学院：</w:t>
      </w:r>
      <w:r>
        <w:rPr>
          <w:rFonts w:hint="eastAsia" w:ascii="仿宋_GB2312" w:hAnsi="宋体" w:eastAsia="仿宋_GB2312" w:cs="Times New Roman"/>
          <w:color w:val="000000"/>
          <w:sz w:val="36"/>
          <w:szCs w:val="36"/>
          <w:u w:val="single"/>
        </w:rPr>
        <w:t xml:space="preserve">                        </w:t>
      </w:r>
    </w:p>
    <w:p>
      <w:pPr>
        <w:snapToGrid w:val="0"/>
        <w:spacing w:line="360" w:lineRule="auto"/>
        <w:ind w:firstLine="900" w:firstLineChars="250"/>
        <w:rPr>
          <w:rFonts w:ascii="仿宋_GB2312" w:hAnsi="宋体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专业带头人：</w:t>
      </w:r>
      <w:r>
        <w:rPr>
          <w:rFonts w:hint="eastAsia" w:ascii="仿宋_GB2312" w:hAnsi="宋体" w:eastAsia="仿宋_GB2312" w:cs="Times New Roman"/>
          <w:color w:val="000000"/>
          <w:sz w:val="36"/>
          <w:szCs w:val="36"/>
          <w:u w:val="single"/>
        </w:rPr>
        <w:t xml:space="preserve">                          </w:t>
      </w:r>
    </w:p>
    <w:p>
      <w:pPr>
        <w:snapToGrid w:val="0"/>
        <w:spacing w:line="360" w:lineRule="auto"/>
        <w:ind w:firstLine="900" w:firstLineChars="250"/>
        <w:rPr>
          <w:rFonts w:ascii="仿宋_GB2312" w:hAnsi="宋体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6"/>
          <w:szCs w:val="36"/>
          <w:u w:val="single"/>
        </w:rPr>
        <w:t xml:space="preserve">                            </w:t>
      </w:r>
    </w:p>
    <w:p>
      <w:pPr>
        <w:snapToGrid w:val="0"/>
        <w:spacing w:line="360" w:lineRule="auto"/>
        <w:ind w:firstLine="900" w:firstLineChars="250"/>
        <w:rPr>
          <w:rFonts w:ascii="仿宋_GB2312" w:hAnsi="宋体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填表日期：</w:t>
      </w:r>
      <w:r>
        <w:rPr>
          <w:rFonts w:hint="eastAsia" w:ascii="仿宋_GB2312" w:hAnsi="宋体" w:eastAsia="仿宋_GB2312" w:cs="Times New Roman"/>
          <w:color w:val="000000"/>
          <w:sz w:val="36"/>
          <w:szCs w:val="36"/>
          <w:u w:val="single"/>
        </w:rPr>
        <w:t xml:space="preserve">                            </w:t>
      </w:r>
    </w:p>
    <w:p>
      <w:pPr>
        <w:snapToGrid w:val="0"/>
        <w:spacing w:line="600" w:lineRule="exact"/>
        <w:rPr>
          <w:rFonts w:ascii="仿宋_GB2312" w:hAnsi="宋体" w:eastAsia="仿宋_GB2312" w:cs="Times New Roman"/>
          <w:color w:val="000000"/>
          <w:sz w:val="36"/>
          <w:szCs w:val="36"/>
        </w:rPr>
      </w:pPr>
    </w:p>
    <w:p>
      <w:pPr>
        <w:snapToGrid w:val="0"/>
        <w:spacing w:line="600" w:lineRule="exact"/>
        <w:rPr>
          <w:rFonts w:ascii="仿宋_GB2312" w:hAnsi="宋体" w:eastAsia="仿宋_GB2312" w:cs="Times New Roman"/>
          <w:color w:val="000000"/>
          <w:sz w:val="36"/>
          <w:szCs w:val="36"/>
        </w:rPr>
      </w:pPr>
    </w:p>
    <w:p>
      <w:pPr>
        <w:snapToGrid w:val="0"/>
        <w:spacing w:line="600" w:lineRule="exact"/>
        <w:rPr>
          <w:rFonts w:ascii="仿宋_GB2312" w:hAnsi="宋体" w:eastAsia="仿宋_GB2312" w:cs="Times New Roman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仿宋_GB2312" w:hAnsi="宋体" w:eastAsia="仿宋_GB2312" w:cs="Times New Roman"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color w:val="000000"/>
          <w:sz w:val="36"/>
          <w:szCs w:val="36"/>
        </w:rPr>
        <w:t>教务处制</w:t>
      </w:r>
    </w:p>
    <w:p>
      <w:pPr>
        <w:spacing w:line="600" w:lineRule="exact"/>
        <w:jc w:val="center"/>
        <w:rPr>
          <w:rFonts w:ascii="仿宋_GB2312" w:hAnsi="宋体" w:eastAsia="仿宋_GB2312" w:cs="Times New Roman"/>
          <w:color w:val="00000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sz w:val="36"/>
          <w:szCs w:val="24"/>
        </w:rPr>
      </w:pPr>
    </w:p>
    <w:p>
      <w:pPr>
        <w:rPr>
          <w:rFonts w:ascii="宋体" w:hAnsi="宋体" w:eastAsia="宋体" w:cs="Times New Roman"/>
          <w:b/>
          <w:color w:val="000000"/>
          <w:sz w:val="32"/>
          <w:szCs w:val="32"/>
        </w:rPr>
      </w:pPr>
    </w:p>
    <w:p>
      <w:pPr>
        <w:rPr>
          <w:rFonts w:ascii="宋体" w:hAnsi="宋体" w:eastAsia="宋体" w:cs="Times New Roman"/>
          <w:b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color w:val="000000"/>
          <w:sz w:val="36"/>
          <w:szCs w:val="36"/>
        </w:rPr>
        <w:t>目      录</w:t>
      </w:r>
    </w:p>
    <w:p>
      <w:pPr>
        <w:rPr>
          <w:rFonts w:ascii="仿宋_GB2312" w:hAnsi="宋体" w:eastAsia="仿宋_GB2312" w:cs="Times New Roman"/>
          <w:color w:val="000000"/>
          <w:szCs w:val="24"/>
        </w:rPr>
      </w:pPr>
    </w:p>
    <w:p>
      <w:pPr>
        <w:rPr>
          <w:rFonts w:ascii="仿宋_GB2312" w:hAnsi="宋体" w:eastAsia="仿宋_GB2312" w:cs="Times New Roman"/>
          <w:color w:val="000000"/>
          <w:szCs w:val="24"/>
        </w:rPr>
      </w:pP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一、自评综述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二、自评总结及结论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三、存在的主要问题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四、整改思路及措施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五、自评结果汇总表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六、自评支撑材料目录</w:t>
      </w:r>
    </w:p>
    <w:p>
      <w:pPr>
        <w:spacing w:line="5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</w:p>
    <w:p>
      <w:pPr>
        <w:widowControl/>
        <w:spacing w:line="480" w:lineRule="exact"/>
        <w:jc w:val="left"/>
        <w:rPr>
          <w:rFonts w:ascii="宋体" w:hAnsi="宋体" w:eastAsia="宋体" w:cs="Times New Roman"/>
          <w:color w:val="000000"/>
          <w:sz w:val="28"/>
          <w:szCs w:val="28"/>
        </w:rPr>
        <w:sectPr>
          <w:footerReference r:id="rId4" w:type="default"/>
          <w:footerReference r:id="rId5" w:type="even"/>
          <w:pgSz w:w="11907" w:h="16840"/>
          <w:pgMar w:top="1701" w:right="1588" w:bottom="1134" w:left="1588" w:header="737" w:footer="964" w:gutter="0"/>
          <w:pgNumType w:start="1"/>
          <w:cols w:space="720" w:num="1"/>
          <w:docGrid w:linePitch="560" w:charSpace="-1675"/>
        </w:sect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一．自评综述（按指标体系顺序，对应各二级指标进行评价）</w:t>
      </w:r>
    </w:p>
    <w:p>
      <w:pPr>
        <w:rPr>
          <w:rFonts w:ascii="宋体" w:hAnsi="宋体" w:eastAsia="宋体" w:cs="Times New Roman"/>
          <w:b/>
          <w:i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i/>
          <w:color w:val="000000"/>
          <w:sz w:val="28"/>
          <w:szCs w:val="28"/>
        </w:rPr>
        <w:t>示例：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1.3课程体系</w:t>
      </w:r>
    </w:p>
    <w:p>
      <w:pPr>
        <w:spacing w:line="480" w:lineRule="exact"/>
        <w:ind w:firstLine="472" w:firstLineChars="196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自评依据</w:t>
      </w:r>
    </w:p>
    <w:p>
      <w:pPr>
        <w:spacing w:line="480" w:lineRule="exact"/>
        <w:ind w:firstLine="480"/>
        <w:textAlignment w:val="baseline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汉语国际教育专业实践教学占学分（学时）的比例为22%，超过合格标准。理论教学体系和实践教学体系结构比较合理；</w:t>
      </w:r>
    </w:p>
    <w:p>
      <w:pPr>
        <w:spacing w:line="480" w:lineRule="exact"/>
        <w:ind w:firstLine="48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能按培养方案开出全部课程</w:t>
      </w:r>
    </w:p>
    <w:p>
      <w:pPr>
        <w:spacing w:line="480" w:lineRule="exact"/>
        <w:ind w:firstLine="360" w:firstLineChars="15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如：公共基础课：思想道德修养与法律基础、毛泽东思想邓小平理论与“三个代表”重要思想概论、马克思主义基本原理、中国近现代史纲要、形势与政策、大学体育、计算机基础等。</w:t>
      </w:r>
    </w:p>
    <w:p>
      <w:pPr>
        <w:spacing w:line="480" w:lineRule="exact"/>
        <w:ind w:firstLine="48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专业基础课：现代汉语、中国文化概论、对外汉语教学概论、古代汉语、语言学概论、基础写作、英汉翻译、外国文学等。</w:t>
      </w:r>
    </w:p>
    <w:p>
      <w:pPr>
        <w:spacing w:line="480" w:lineRule="exact"/>
        <w:ind w:firstLine="480" w:firstLineChars="20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专业课：对外汉语教学概论、第二语言习得、对外课堂教学引论等。</w:t>
      </w: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得分：5分</w:t>
      </w: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二、自评总结及结论</w:t>
      </w: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outlineLvl w:val="0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outlineLvl w:val="0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三、存在的主要问题</w:t>
      </w:r>
    </w:p>
    <w:p>
      <w:pPr>
        <w:spacing w:line="480" w:lineRule="exact"/>
        <w:outlineLvl w:val="0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outlineLvl w:val="0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四、整改思路及措施</w:t>
      </w: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五、自评结果汇总表</w:t>
      </w:r>
    </w:p>
    <w:p>
      <w:pPr>
        <w:spacing w:line="400" w:lineRule="exact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专业名称：</w:t>
      </w:r>
    </w:p>
    <w:tbl>
      <w:tblPr>
        <w:tblStyle w:val="6"/>
        <w:tblW w:w="8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3"/>
        <w:gridCol w:w="2041"/>
        <w:gridCol w:w="2948"/>
        <w:gridCol w:w="100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一级指标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二级指标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观测点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48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培养目标与培养方案</w:t>
            </w:r>
          </w:p>
          <w:p>
            <w:pPr>
              <w:pStyle w:val="7"/>
              <w:ind w:left="360" w:firstLine="0" w:firstLineChars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（16分）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专业定位与人才培养目标（6分）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1.1.1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专业定位和服务面向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25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1.1.2 人才培养目标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17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1.1.3 专业建设目标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1.2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培养方案（5分）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 修订专业培养方案的主要依据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75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.2专业培养方案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24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1.3课程体系（5分）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1.3.1课程体系结构和学分学时分配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1.3.2 课程开设情况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2.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教师队伍（18分）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数量与结构（6分）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.1专业教师总体情况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.2兼职教师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2.1.3专业基础课和专业核心课主讲教师情况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教学工作（5分）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.1师德修养和敬业精神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2.2.2主要教学环节的执行情况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2.3科研情况（3分）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2.3.1教师参与科研、成果支持教学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2.4培养培训（4分）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2.4.1专业师资建设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2.4.2教师职业发展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3.基本教学条件及利用</w:t>
            </w:r>
          </w:p>
          <w:p>
            <w:pPr>
              <w:pStyle w:val="7"/>
              <w:ind w:left="360" w:firstLine="0" w:firstLineChars="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（12分）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3.1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实验室与实习基地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（5分）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.1实验室建设及实验管理人员配备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.2实验室开放和大型仪器设备利用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3.1.3实习基地建设及利用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538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图书资料（4分）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.1专业图书资料的配置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教学经费（3分）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3.3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.1专业日常教学经费及专项建设经费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专业教学（24分）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课程教学（6分）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.1教学大纲等基本教学文件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4.1.2专业教材的选用情况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4.1.3考试考核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实践教学（6分）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.1实验开设与实验内容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.2实验教学大纲等基本教学文件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77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4.2.3实习开展情况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4.3教学改革（6分）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4.3.1开展教学研究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4.3.2教改与质量工程建设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465" w:hRule="atLeast"/>
          <w:jc w:val="center"/>
        </w:trPr>
        <w:tc>
          <w:tcPr>
            <w:tcW w:w="21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4.3.3其他教学资源与利用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一级指标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二级指标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观测点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" w:hanging="90" w:hangingChars="5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4.4毕业论文（设计）   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4.4.1毕业论文（设计）选题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4.专业教学（24分）</w:t>
            </w: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4.4.2毕业论文（设计）指导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4.4.3毕业论文（设计）质量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．教学管理（12分）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组织机构及规章制度（4分）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.1学院教学管理人员落实、职责明确，本专业教学运行规范有序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1.2教学管理规章制度及专业教学文件的知晓度与执行状况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2学生服务（4分）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2.1对学生的专业学习指导、职业生涯指导、就业指导、创业教育指导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3质量监控（4分）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5.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3.1教学质量的检查、评价、反馈、改进机制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5.3.2专业质量报告制度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．教学效果（18分）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学风（6分）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.1学生遵守校级、校规、出勤与迟到情况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6.1.2早（晚）自习风气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6.1.3参加专业学习之外的其他学习情况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人才培养目标实现情况（6分）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.1学生思想道德素养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6.2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.2学生的基本理论与基本技能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6.2.3学生的创新精神与实践能力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6.3就业与评价（6分）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6.3.1当年毕业生就业率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6.3.2学生评价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11" w:type="dxa"/>
          <w:trHeight w:val="349" w:hRule="atLeast"/>
          <w:jc w:val="center"/>
        </w:trPr>
        <w:tc>
          <w:tcPr>
            <w:tcW w:w="2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6.3.3社会评价</w:t>
            </w: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观测点总分</w:t>
            </w:r>
          </w:p>
        </w:tc>
        <w:tc>
          <w:tcPr>
            <w:tcW w:w="6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4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专业带头人意见</w:t>
            </w:r>
          </w:p>
        </w:tc>
        <w:tc>
          <w:tcPr>
            <w:tcW w:w="6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>
            <w:pPr>
              <w:spacing w:line="300" w:lineRule="exact"/>
              <w:ind w:firstLine="2610" w:firstLineChars="1450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</w:p>
          <w:p>
            <w:pPr>
              <w:spacing w:line="300" w:lineRule="exact"/>
              <w:ind w:firstLine="2610" w:firstLineChars="14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专业带头人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签名：</w:t>
            </w:r>
          </w:p>
          <w:p>
            <w:pPr>
              <w:ind w:firstLine="3780" w:firstLineChars="21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    月    日</w:t>
            </w:r>
          </w:p>
        </w:tc>
      </w:tr>
    </w:tbl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</w:rPr>
        <w:t>六、自评支撑材料目录</w:t>
      </w:r>
    </w:p>
    <w:p>
      <w:pPr>
        <w:spacing w:line="480" w:lineRule="exact"/>
        <w:ind w:firstLine="562" w:firstLineChars="200"/>
        <w:rPr>
          <w:rFonts w:ascii="宋体" w:hAnsi="宋体" w:eastAsia="宋体" w:cs="Times New Roman"/>
          <w:b/>
          <w:color w:val="000000"/>
          <w:sz w:val="28"/>
          <w:szCs w:val="28"/>
        </w:rPr>
      </w:pPr>
    </w:p>
    <w:p>
      <w:pPr>
        <w:spacing w:line="480" w:lineRule="exact"/>
        <w:rPr>
          <w:rFonts w:ascii="楷体_GB2312" w:hAnsi="宋体" w:eastAsia="楷体_GB2312" w:cs="Times New Roman"/>
          <w:b/>
          <w:i/>
          <w:color w:val="000000"/>
          <w:sz w:val="28"/>
          <w:szCs w:val="28"/>
        </w:rPr>
      </w:pPr>
      <w:r>
        <w:rPr>
          <w:rFonts w:hint="eastAsia" w:ascii="楷体_GB2312" w:hAnsi="宋体" w:eastAsia="楷体_GB2312" w:cs="Times New Roman"/>
          <w:b/>
          <w:i/>
          <w:color w:val="000000"/>
          <w:sz w:val="28"/>
          <w:szCs w:val="28"/>
        </w:rPr>
        <w:t>说明：1</w:t>
      </w:r>
      <w:r>
        <w:rPr>
          <w:rFonts w:hint="eastAsia" w:ascii="楷体_GB2312" w:hAnsi="宋体" w:eastAsia="楷体_GB2312" w:cs="宋体"/>
          <w:b/>
          <w:i/>
          <w:color w:val="000000"/>
          <w:sz w:val="28"/>
          <w:szCs w:val="28"/>
        </w:rPr>
        <w:t>．</w:t>
      </w:r>
      <w:r>
        <w:rPr>
          <w:rFonts w:hint="eastAsia" w:ascii="楷体_GB2312" w:hAnsi="宋体" w:eastAsia="楷体_GB2312" w:cs="Times New Roman"/>
          <w:b/>
          <w:i/>
          <w:color w:val="000000"/>
          <w:sz w:val="28"/>
          <w:szCs w:val="28"/>
        </w:rPr>
        <w:t>以上各项中文字内容字体为宋体,字号小四,行距24磅。</w:t>
      </w:r>
    </w:p>
    <w:p>
      <w:pPr>
        <w:spacing w:line="480" w:lineRule="exact"/>
        <w:ind w:firstLine="843" w:firstLineChars="300"/>
        <w:rPr>
          <w:rFonts w:ascii="楷体_GB2312" w:hAnsi="宋体" w:eastAsia="楷体_GB2312" w:cs="Times New Roman"/>
          <w:b/>
          <w:i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i/>
          <w:sz w:val="28"/>
          <w:szCs w:val="28"/>
        </w:rPr>
        <w:t>2</w:t>
      </w:r>
      <w:r>
        <w:rPr>
          <w:rFonts w:hint="eastAsia" w:ascii="楷体_GB2312" w:hAnsi="Times New Roman" w:eastAsia="楷体_GB2312" w:cs="宋体"/>
          <w:b/>
          <w:i/>
          <w:sz w:val="28"/>
          <w:szCs w:val="28"/>
        </w:rPr>
        <w:t>．</w:t>
      </w:r>
      <w:r>
        <w:rPr>
          <w:rFonts w:hint="eastAsia" w:ascii="楷体_GB2312" w:hAnsi="Times New Roman" w:eastAsia="楷体_GB2312" w:cs="Times New Roman"/>
          <w:b/>
          <w:i/>
          <w:sz w:val="28"/>
          <w:szCs w:val="28"/>
        </w:rPr>
        <w:t>自评支撑材料按照二级指标体系及观测点的顺序排列。</w:t>
      </w: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2448896">
    <w:nsid w:val="6F9B4D80"/>
    <w:multiLevelType w:val="multilevel"/>
    <w:tmpl w:val="6F9B4D8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724488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2C1A"/>
    <w:rsid w:val="001E60B3"/>
    <w:rsid w:val="00274D65"/>
    <w:rsid w:val="00395AC1"/>
    <w:rsid w:val="004453AC"/>
    <w:rsid w:val="00587F6C"/>
    <w:rsid w:val="005B0518"/>
    <w:rsid w:val="00757B64"/>
    <w:rsid w:val="009C13E4"/>
    <w:rsid w:val="00AB1510"/>
    <w:rsid w:val="00AF1B61"/>
    <w:rsid w:val="00B52FE2"/>
    <w:rsid w:val="00B72C1A"/>
    <w:rsid w:val="00C82EB9"/>
    <w:rsid w:val="00C849FB"/>
    <w:rsid w:val="00E2495B"/>
    <w:rsid w:val="00E47C88"/>
    <w:rsid w:val="48B34ABE"/>
    <w:rsid w:val="57E814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312</Words>
  <Characters>1782</Characters>
  <Lines>14</Lines>
  <Paragraphs>4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2015-07-01T04:14:00Z</dcterms:created>
  <dc:creator>china</dc:creator>
  <cp:lastModifiedBy>Administrator</cp:lastModifiedBy>
  <dcterms:modified xsi:type="dcterms:W3CDTF">2015-07-06T09:06:09Z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