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left"/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附件1</w:t>
      </w:r>
    </w:p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center"/>
        <w:rPr>
          <w:rFonts w:ascii="Verdana" w:hAnsi="Verdana" w:cs="Verdana"/>
          <w:b w:val="0"/>
          <w:i w:val="0"/>
          <w:caps w:val="0"/>
          <w:color w:val="4E4E4E"/>
          <w:spacing w:val="0"/>
          <w:sz w:val="21"/>
          <w:szCs w:val="21"/>
        </w:rPr>
      </w:pPr>
      <w:bookmarkStart w:id="0" w:name="_GoBack"/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2017年度示范性虚拟仿真实验教学项目</w:t>
      </w:r>
    </w:p>
    <w:p>
      <w:pPr>
        <w:keepNext w:val="0"/>
        <w:keepLines w:val="0"/>
        <w:widowControl/>
        <w:suppressLineNumbers w:val="0"/>
        <w:shd w:val="clear" w:fill="FFFFFF"/>
        <w:wordWrap/>
        <w:spacing w:line="420" w:lineRule="atLeast"/>
        <w:ind w:left="0" w:firstLine="0"/>
        <w:jc w:val="center"/>
        <w:rPr>
          <w:rFonts w:hint="default" w:ascii="Verdana" w:hAnsi="Verdana" w:cs="Verdana"/>
          <w:b w:val="0"/>
          <w:i w:val="0"/>
          <w:caps w:val="0"/>
          <w:color w:val="4E4E4E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4E4E4E"/>
          <w:spacing w:val="0"/>
          <w:kern w:val="0"/>
          <w:sz w:val="21"/>
          <w:szCs w:val="21"/>
          <w:shd w:val="clear" w:fill="FFFFFF"/>
          <w:lang w:val="en-US" w:eastAsia="zh-CN" w:bidi="ar"/>
        </w:rPr>
        <w:t>对应专业表</w:t>
      </w:r>
      <w:bookmarkEnd w:id="0"/>
    </w:p>
    <w:tbl>
      <w:tblPr>
        <w:tblW w:w="8305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5"/>
        <w:gridCol w:w="5424"/>
        <w:gridCol w:w="118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分 类</w:t>
            </w:r>
          </w:p>
        </w:tc>
        <w:tc>
          <w:tcPr>
            <w:tcW w:w="542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对应专业</w:t>
            </w:r>
          </w:p>
        </w:tc>
        <w:tc>
          <w:tcPr>
            <w:tcW w:w="11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2017年</w:t>
            </w:r>
          </w:p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国家规划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生物科学类</w:t>
            </w:r>
          </w:p>
        </w:tc>
        <w:tc>
          <w:tcPr>
            <w:tcW w:w="542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生物科学、生物技术、生物信息学、生态学、整合科学、神经科学。</w:t>
            </w:r>
          </w:p>
        </w:tc>
        <w:tc>
          <w:tcPr>
            <w:tcW w:w="11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机械类</w:t>
            </w:r>
          </w:p>
        </w:tc>
        <w:tc>
          <w:tcPr>
            <w:tcW w:w="542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机械工程、机械设计制造及其自动化、材料成型及控制工程、机械电子工程、工业设计、过程装备与控制工程、车辆工程、汽车服务工程、机械工艺技术、微机电系统工程、机电技术教育、汽车维修工程教育。</w:t>
            </w:r>
          </w:p>
        </w:tc>
        <w:tc>
          <w:tcPr>
            <w:tcW w:w="11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电子信息类</w:t>
            </w:r>
          </w:p>
        </w:tc>
        <w:tc>
          <w:tcPr>
            <w:tcW w:w="542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电子信息工程、电子科学与技术、通信工程、微电子科学与工程、光电信息科学与工程、信息工程、广播电视工程、水声工程、电子封装技术、集成电路设计与集成系统、医学信息工程、电磁场与无线技术、电波传播与天线、电子信息科学与技术、电信工程及管理、应用电子技术教育。</w:t>
            </w:r>
          </w:p>
        </w:tc>
        <w:tc>
          <w:tcPr>
            <w:tcW w:w="11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化工与制药类</w:t>
            </w:r>
          </w:p>
        </w:tc>
        <w:tc>
          <w:tcPr>
            <w:tcW w:w="542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化学工程与工艺、制药工程、资源循环科学与工程、能源化学工程、化学工程与工业生物工程。</w:t>
            </w:r>
          </w:p>
        </w:tc>
        <w:tc>
          <w:tcPr>
            <w:tcW w:w="11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交通运输类</w:t>
            </w:r>
          </w:p>
        </w:tc>
        <w:tc>
          <w:tcPr>
            <w:tcW w:w="542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交通运输、交通工程、航海技术、轮机工程、飞行技术、交通设备与控制工程、救助与打捞工程、船舶电子电气工程。</w:t>
            </w:r>
          </w:p>
        </w:tc>
        <w:tc>
          <w:tcPr>
            <w:tcW w:w="11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核工程类</w:t>
            </w:r>
          </w:p>
        </w:tc>
        <w:tc>
          <w:tcPr>
            <w:tcW w:w="542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核工程与核技术、辐射防护与核安全、工程物理、核化工与核燃料工程。</w:t>
            </w:r>
          </w:p>
        </w:tc>
        <w:tc>
          <w:tcPr>
            <w:tcW w:w="11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临床医学类</w:t>
            </w:r>
          </w:p>
        </w:tc>
        <w:tc>
          <w:tcPr>
            <w:tcW w:w="542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临床医学、麻醉学、医学影像学、眼视光医学、精神医学、放射医学、儿科学、口腔医学。</w:t>
            </w:r>
          </w:p>
        </w:tc>
        <w:tc>
          <w:tcPr>
            <w:tcW w:w="11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药学类</w:t>
            </w:r>
          </w:p>
        </w:tc>
        <w:tc>
          <w:tcPr>
            <w:tcW w:w="542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药学、药物制剂、临床药学、药事管理、药物分析、药物化学、海洋药学、中药学、中药资源与开发、藏药学、蒙药学、中药制药、中草药栽培与鉴定。</w:t>
            </w:r>
          </w:p>
        </w:tc>
        <w:tc>
          <w:tcPr>
            <w:tcW w:w="11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420" w:lineRule="atLeast"/>
              <w:ind w:left="0" w:firstLine="0"/>
              <w:jc w:val="center"/>
              <w:rPr>
                <w:rFonts w:hint="default" w:ascii="Verdana" w:hAnsi="Verdana" w:cs="Verdana"/>
                <w:b w:val="0"/>
                <w:i w:val="0"/>
                <w:caps w:val="0"/>
                <w:color w:val="4E4E4E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aps w:val="0"/>
                <w:color w:val="4E4E4E"/>
                <w:spacing w:val="0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E85C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安若阳</cp:lastModifiedBy>
  <dcterms:modified xsi:type="dcterms:W3CDTF">2017-10-30T06:49:54Z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